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D4" w:rsidRPr="007C24F0" w:rsidRDefault="00D469D4" w:rsidP="00D46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Figura 1. Evolución y proyección de indicadores demográficos del departamento de Santander. 1985-2020</w:t>
      </w:r>
    </w:p>
    <w:p w:rsidR="00D469D4" w:rsidRPr="007C24F0" w:rsidRDefault="00D469D4" w:rsidP="00D46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F244F90" wp14:editId="5F0D2A24">
            <wp:extent cx="5581575" cy="2807955"/>
            <wp:effectExtent l="0" t="0" r="63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69D4" w:rsidRDefault="00D469D4" w:rsidP="00D469D4">
      <w:pPr>
        <w:tabs>
          <w:tab w:val="left" w:pos="67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Fuente: Elaboración propia con base en información del departamento administrativo nacional de estadísticas -DANE-.</w:t>
      </w:r>
    </w:p>
    <w:p w:rsidR="00D469D4" w:rsidRDefault="00D469D4" w:rsidP="00D469D4">
      <w:pPr>
        <w:tabs>
          <w:tab w:val="left" w:pos="67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9D4" w:rsidRDefault="00D469D4" w:rsidP="00D469D4">
      <w:pPr>
        <w:tabs>
          <w:tab w:val="left" w:pos="67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9D4" w:rsidRPr="007C24F0" w:rsidRDefault="00D469D4" w:rsidP="00D469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Figura 2. Pirámides de población del departamento de Santander. 1964-2020</w:t>
      </w:r>
      <w:r w:rsidRPr="007C24F0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6EE7E40" wp14:editId="666E4A7F">
            <wp:extent cx="5612130" cy="300101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69D4" w:rsidRDefault="00D469D4" w:rsidP="00D469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Fuente: Elaboración propia con base en censos de población del -DANE-.</w:t>
      </w:r>
    </w:p>
    <w:p w:rsidR="00D469D4" w:rsidRPr="007C24F0" w:rsidRDefault="00D469D4" w:rsidP="00D469D4">
      <w:pPr>
        <w:tabs>
          <w:tab w:val="left" w:pos="67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A6B" w:rsidRDefault="003D6A6B"/>
    <w:p w:rsidR="00B80647" w:rsidRDefault="00B80647"/>
    <w:p w:rsidR="00B80647" w:rsidRPr="007C24F0" w:rsidRDefault="00B80647" w:rsidP="00B80647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lastRenderedPageBreak/>
        <w:t>Tabla 1. Diez primeras causas de morbilidad en adultos mayores. Santander 2011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741"/>
        <w:gridCol w:w="741"/>
        <w:gridCol w:w="741"/>
        <w:gridCol w:w="641"/>
        <w:gridCol w:w="721"/>
        <w:gridCol w:w="741"/>
        <w:gridCol w:w="491"/>
      </w:tblGrid>
      <w:tr w:rsidR="00B80647" w:rsidRPr="00037C6F" w:rsidTr="00BC0AC7">
        <w:trPr>
          <w:trHeight w:val="255"/>
          <w:jc w:val="center"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Causa de consulta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60-64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65-69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70-74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75-79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80 y +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%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Hipertensión esencial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37518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38103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31006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36852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179208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35,2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Diabetes mellitus no insulinodependiente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2561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2255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16315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3,2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Hiperlipidemia mixta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1104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796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8847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1,7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Lumbago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8185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1,6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Infección de vías urinarias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8092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1,6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Enf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ermedad</w:t>
            </w: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pulmonar obstructiva crónica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2190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6660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1,3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Dolor en articulación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733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5041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1,0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Gastritis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788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4979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1,0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Caries de la dentina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503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4893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1,0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roofErr w:type="spellStart"/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Rinofaringitis</w:t>
            </w:r>
            <w:proofErr w:type="spellEnd"/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aguda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4614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0,9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Total 10 primeras causas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54125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52913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51504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41056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47236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246834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48,5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Total resto de causas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70269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49698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43417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262138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51,5</w:t>
            </w:r>
          </w:p>
        </w:tc>
      </w:tr>
      <w:tr w:rsidR="00B80647" w:rsidRPr="00037C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7" w:rsidRPr="00037C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Total todas las causas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124394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110917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101202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84473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87986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508972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0647" w:rsidRPr="00037C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037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100</w:t>
            </w:r>
          </w:p>
        </w:tc>
      </w:tr>
    </w:tbl>
    <w:p w:rsidR="00B80647" w:rsidRPr="007C24F0" w:rsidRDefault="00B80647" w:rsidP="00B806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Fuente: Elaboración propia con base en registros individuales de prestación de servicios de salud. Observatorio de salud pública de Santander. 2011.</w:t>
      </w:r>
    </w:p>
    <w:p w:rsidR="00B80647" w:rsidRDefault="00B80647"/>
    <w:p w:rsidR="00B80647" w:rsidRDefault="00B80647"/>
    <w:p w:rsidR="00B80647" w:rsidRPr="007C24F0" w:rsidRDefault="00B80647" w:rsidP="00B80647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Tabla 2. Diez primeras causas de muerte en adultos mayores. Santander 2011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01"/>
        <w:gridCol w:w="601"/>
        <w:gridCol w:w="601"/>
        <w:gridCol w:w="601"/>
        <w:gridCol w:w="646"/>
        <w:gridCol w:w="591"/>
        <w:gridCol w:w="491"/>
      </w:tblGrid>
      <w:tr w:rsidR="00B80647" w:rsidRPr="0054726F" w:rsidTr="00BC0AC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Causa de muerte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75-79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 y 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Enfermedades isquémicas del corazón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Enfermedades cerebrovasculares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Enferme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dades</w:t>
            </w:r>
            <w:r w:rsidRPr="0054726F">
              <w:rPr>
                <w:rFonts w:ascii="Arial" w:eastAsia="Times New Roman" w:hAnsi="Arial" w:cs="Arial"/>
                <w:sz w:val="18"/>
                <w:szCs w:val="18"/>
              </w:rPr>
              <w:t xml:space="preserve"> crónicas vías respiratorias inferiores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Enfermedades hipertensivas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Signos, síntomas afecciones mal definidas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Neumonía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Insuficiencia cardiaca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Tumor maligno del estómago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Todas las demás enfermedades del corazón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10 primeras casusas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60,8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resto de causas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39,2</w:t>
            </w:r>
          </w:p>
        </w:tc>
      </w:tr>
      <w:tr w:rsidR="00B80647" w:rsidRPr="0054726F" w:rsidTr="00BC0AC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todas las causas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47" w:rsidRPr="0054726F" w:rsidRDefault="00B80647" w:rsidP="00BC0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47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B80647" w:rsidRPr="007C24F0" w:rsidRDefault="00B80647" w:rsidP="00B80647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24F0">
        <w:rPr>
          <w:rFonts w:ascii="Arial" w:hAnsi="Arial" w:cs="Arial"/>
          <w:sz w:val="24"/>
          <w:szCs w:val="24"/>
        </w:rPr>
        <w:t>Fuente: Elaboración propia con base en estadísticas de defunciones del departamento nacional de estadísticas -DANE-.</w:t>
      </w:r>
    </w:p>
    <w:p w:rsidR="00B80647" w:rsidRDefault="00B80647" w:rsidP="00B80647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B80647" w:rsidRDefault="00B80647">
      <w:bookmarkStart w:id="0" w:name="_GoBack"/>
      <w:bookmarkEnd w:id="0"/>
    </w:p>
    <w:sectPr w:rsidR="00B80647" w:rsidSect="00D469D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2"/>
    <w:rsid w:val="00012DFD"/>
    <w:rsid w:val="00024D99"/>
    <w:rsid w:val="0003132F"/>
    <w:rsid w:val="00036C4B"/>
    <w:rsid w:val="00042785"/>
    <w:rsid w:val="00063E11"/>
    <w:rsid w:val="00082C8C"/>
    <w:rsid w:val="00093A4B"/>
    <w:rsid w:val="00093C04"/>
    <w:rsid w:val="000A1C12"/>
    <w:rsid w:val="000A352E"/>
    <w:rsid w:val="000A55A2"/>
    <w:rsid w:val="000A6962"/>
    <w:rsid w:val="000A74C2"/>
    <w:rsid w:val="000D46D4"/>
    <w:rsid w:val="000F54B8"/>
    <w:rsid w:val="000F61E7"/>
    <w:rsid w:val="00143BF6"/>
    <w:rsid w:val="001465FB"/>
    <w:rsid w:val="0018218E"/>
    <w:rsid w:val="00182219"/>
    <w:rsid w:val="001B3AB7"/>
    <w:rsid w:val="001C20EA"/>
    <w:rsid w:val="001C4E89"/>
    <w:rsid w:val="001C6FE9"/>
    <w:rsid w:val="001E45AA"/>
    <w:rsid w:val="001E507F"/>
    <w:rsid w:val="001F0256"/>
    <w:rsid w:val="001F79E5"/>
    <w:rsid w:val="00200ADF"/>
    <w:rsid w:val="00204B18"/>
    <w:rsid w:val="0021249D"/>
    <w:rsid w:val="00215311"/>
    <w:rsid w:val="0022502D"/>
    <w:rsid w:val="00242FAD"/>
    <w:rsid w:val="00273D40"/>
    <w:rsid w:val="002D0FF7"/>
    <w:rsid w:val="002D47F3"/>
    <w:rsid w:val="002D6304"/>
    <w:rsid w:val="002E1BD8"/>
    <w:rsid w:val="002E3A02"/>
    <w:rsid w:val="003000EF"/>
    <w:rsid w:val="00325551"/>
    <w:rsid w:val="003628C5"/>
    <w:rsid w:val="0038051F"/>
    <w:rsid w:val="00387B51"/>
    <w:rsid w:val="003B1D23"/>
    <w:rsid w:val="003B2BAE"/>
    <w:rsid w:val="003B657C"/>
    <w:rsid w:val="003D3ABD"/>
    <w:rsid w:val="003D6266"/>
    <w:rsid w:val="003D6A6B"/>
    <w:rsid w:val="003D79E4"/>
    <w:rsid w:val="003E56A2"/>
    <w:rsid w:val="004032B3"/>
    <w:rsid w:val="004272D8"/>
    <w:rsid w:val="0044735F"/>
    <w:rsid w:val="0046427B"/>
    <w:rsid w:val="00472017"/>
    <w:rsid w:val="004A494D"/>
    <w:rsid w:val="004A7AFB"/>
    <w:rsid w:val="004D00F4"/>
    <w:rsid w:val="004E1A83"/>
    <w:rsid w:val="004E32B0"/>
    <w:rsid w:val="004F5242"/>
    <w:rsid w:val="004F67FA"/>
    <w:rsid w:val="00506B16"/>
    <w:rsid w:val="005202AB"/>
    <w:rsid w:val="00530F66"/>
    <w:rsid w:val="005316E4"/>
    <w:rsid w:val="00555658"/>
    <w:rsid w:val="005814F3"/>
    <w:rsid w:val="00592390"/>
    <w:rsid w:val="005A24D2"/>
    <w:rsid w:val="005E78E1"/>
    <w:rsid w:val="00605ECC"/>
    <w:rsid w:val="0064287C"/>
    <w:rsid w:val="00650620"/>
    <w:rsid w:val="00655FA1"/>
    <w:rsid w:val="0066536B"/>
    <w:rsid w:val="00672575"/>
    <w:rsid w:val="006D52BC"/>
    <w:rsid w:val="006E1BD5"/>
    <w:rsid w:val="006F3638"/>
    <w:rsid w:val="007019B9"/>
    <w:rsid w:val="00726FC2"/>
    <w:rsid w:val="007324A8"/>
    <w:rsid w:val="00734E16"/>
    <w:rsid w:val="00735963"/>
    <w:rsid w:val="00752ED6"/>
    <w:rsid w:val="00760B82"/>
    <w:rsid w:val="00772404"/>
    <w:rsid w:val="007A06FA"/>
    <w:rsid w:val="007A3EB8"/>
    <w:rsid w:val="007B2F76"/>
    <w:rsid w:val="007C4FEC"/>
    <w:rsid w:val="007F3EA2"/>
    <w:rsid w:val="008202A2"/>
    <w:rsid w:val="00824AD5"/>
    <w:rsid w:val="008560F1"/>
    <w:rsid w:val="008579CF"/>
    <w:rsid w:val="0087291D"/>
    <w:rsid w:val="00875B20"/>
    <w:rsid w:val="00894B33"/>
    <w:rsid w:val="008C5B9B"/>
    <w:rsid w:val="008D309D"/>
    <w:rsid w:val="008D48BE"/>
    <w:rsid w:val="008F7A41"/>
    <w:rsid w:val="009140C9"/>
    <w:rsid w:val="009237B0"/>
    <w:rsid w:val="00946B10"/>
    <w:rsid w:val="00955B57"/>
    <w:rsid w:val="0097105E"/>
    <w:rsid w:val="0097112B"/>
    <w:rsid w:val="00980335"/>
    <w:rsid w:val="009975FA"/>
    <w:rsid w:val="009D3F94"/>
    <w:rsid w:val="009E0D04"/>
    <w:rsid w:val="009E12E6"/>
    <w:rsid w:val="00A37959"/>
    <w:rsid w:val="00A53561"/>
    <w:rsid w:val="00A5693C"/>
    <w:rsid w:val="00A85D99"/>
    <w:rsid w:val="00A875EB"/>
    <w:rsid w:val="00AD3032"/>
    <w:rsid w:val="00AD710B"/>
    <w:rsid w:val="00AE01F0"/>
    <w:rsid w:val="00AE7D1D"/>
    <w:rsid w:val="00B23920"/>
    <w:rsid w:val="00B60BC8"/>
    <w:rsid w:val="00B64EFB"/>
    <w:rsid w:val="00B80647"/>
    <w:rsid w:val="00B872F0"/>
    <w:rsid w:val="00BC268C"/>
    <w:rsid w:val="00BC7D24"/>
    <w:rsid w:val="00BF1805"/>
    <w:rsid w:val="00C02468"/>
    <w:rsid w:val="00C0505C"/>
    <w:rsid w:val="00C12CB5"/>
    <w:rsid w:val="00C21DBE"/>
    <w:rsid w:val="00C312BA"/>
    <w:rsid w:val="00C40A8F"/>
    <w:rsid w:val="00C6625A"/>
    <w:rsid w:val="00C76BF5"/>
    <w:rsid w:val="00C830A4"/>
    <w:rsid w:val="00C8488E"/>
    <w:rsid w:val="00C9326B"/>
    <w:rsid w:val="00C93842"/>
    <w:rsid w:val="00CA7040"/>
    <w:rsid w:val="00CB51D6"/>
    <w:rsid w:val="00CE3CDD"/>
    <w:rsid w:val="00D15425"/>
    <w:rsid w:val="00D40E0F"/>
    <w:rsid w:val="00D413F6"/>
    <w:rsid w:val="00D469D4"/>
    <w:rsid w:val="00D61F92"/>
    <w:rsid w:val="00D6399E"/>
    <w:rsid w:val="00D66294"/>
    <w:rsid w:val="00DA16CD"/>
    <w:rsid w:val="00DA42BA"/>
    <w:rsid w:val="00DB2FFF"/>
    <w:rsid w:val="00DE549B"/>
    <w:rsid w:val="00DF5F5D"/>
    <w:rsid w:val="00E12A30"/>
    <w:rsid w:val="00E34611"/>
    <w:rsid w:val="00E375EA"/>
    <w:rsid w:val="00E458C3"/>
    <w:rsid w:val="00E45D20"/>
    <w:rsid w:val="00EB2A7B"/>
    <w:rsid w:val="00EC3EA4"/>
    <w:rsid w:val="00ED61AB"/>
    <w:rsid w:val="00EE1E8B"/>
    <w:rsid w:val="00F026E0"/>
    <w:rsid w:val="00F02977"/>
    <w:rsid w:val="00F05FC5"/>
    <w:rsid w:val="00F12FD5"/>
    <w:rsid w:val="00F14A7F"/>
    <w:rsid w:val="00F23E85"/>
    <w:rsid w:val="00F361BE"/>
    <w:rsid w:val="00F53241"/>
    <w:rsid w:val="00F64BE6"/>
    <w:rsid w:val="00F913AC"/>
    <w:rsid w:val="00F92051"/>
    <w:rsid w:val="00FC4BB3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AF41F0-BA77-48D5-AE42-6FDEED2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80647"/>
    <w:pPr>
      <w:spacing w:after="120" w:line="276" w:lineRule="auto"/>
    </w:pPr>
    <w:rPr>
      <w:rFonts w:eastAsiaTheme="minorEastAsia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647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art%20med%20unab\grafic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enovo\Desktop\Tesis%20especializaci&#243;n\Documentos\DATOS%20PARA%20ANALI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Hoja1!$B$20</c:f>
              <c:strCache>
                <c:ptCount val="1"/>
                <c:pt idx="0">
                  <c:v>Tasa bruta de natalidad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Hoja1!$A$21:$A$27</c:f>
              <c:strCache>
                <c:ptCount val="7"/>
                <c:pt idx="0">
                  <c:v>1985-1990</c:v>
                </c:pt>
                <c:pt idx="1">
                  <c:v>1990-1995</c:v>
                </c:pt>
                <c:pt idx="2">
                  <c:v>1995-2000</c:v>
                </c:pt>
                <c:pt idx="3">
                  <c:v>2000-2005</c:v>
                </c:pt>
                <c:pt idx="4">
                  <c:v>2005-2010</c:v>
                </c:pt>
                <c:pt idx="5">
                  <c:v>2010-2015</c:v>
                </c:pt>
                <c:pt idx="6">
                  <c:v>2015-2020</c:v>
                </c:pt>
              </c:strCache>
            </c:strRef>
          </c:cat>
          <c:val>
            <c:numRef>
              <c:f>Hoja1!$B$21:$B$27</c:f>
              <c:numCache>
                <c:formatCode>0.00</c:formatCode>
                <c:ptCount val="7"/>
                <c:pt idx="0">
                  <c:v>27.180479672012481</c:v>
                </c:pt>
                <c:pt idx="1">
                  <c:v>25.195830773662198</c:v>
                </c:pt>
                <c:pt idx="2">
                  <c:v>22.426559431604161</c:v>
                </c:pt>
                <c:pt idx="3">
                  <c:v>19.403752967104868</c:v>
                </c:pt>
                <c:pt idx="4">
                  <c:v>17.740366962998017</c:v>
                </c:pt>
                <c:pt idx="5">
                  <c:v>16.850206766598742</c:v>
                </c:pt>
                <c:pt idx="6">
                  <c:v>16.032876741225344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Hoja1!$C$20</c:f>
              <c:strCache>
                <c:ptCount val="1"/>
                <c:pt idx="0">
                  <c:v>Tasa bruta de mortalidad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Hoja1!$A$21:$A$27</c:f>
              <c:strCache>
                <c:ptCount val="7"/>
                <c:pt idx="0">
                  <c:v>1985-1990</c:v>
                </c:pt>
                <c:pt idx="1">
                  <c:v>1990-1995</c:v>
                </c:pt>
                <c:pt idx="2">
                  <c:v>1995-2000</c:v>
                </c:pt>
                <c:pt idx="3">
                  <c:v>2000-2005</c:v>
                </c:pt>
                <c:pt idx="4">
                  <c:v>2005-2010</c:v>
                </c:pt>
                <c:pt idx="5">
                  <c:v>2010-2015</c:v>
                </c:pt>
                <c:pt idx="6">
                  <c:v>2015-2020</c:v>
                </c:pt>
              </c:strCache>
            </c:strRef>
          </c:cat>
          <c:val>
            <c:numRef>
              <c:f>Hoja1!$C$21:$C$27</c:f>
              <c:numCache>
                <c:formatCode>0.00</c:formatCode>
                <c:ptCount val="7"/>
                <c:pt idx="0">
                  <c:v>6.1690222895508819</c:v>
                </c:pt>
                <c:pt idx="1">
                  <c:v>6.0649265717796927</c:v>
                </c:pt>
                <c:pt idx="2">
                  <c:v>6.0357765745684651</c:v>
                </c:pt>
                <c:pt idx="3">
                  <c:v>6.0280007888129354</c:v>
                </c:pt>
                <c:pt idx="4">
                  <c:v>6.074402127114281</c:v>
                </c:pt>
                <c:pt idx="5">
                  <c:v>6.1555707124083794</c:v>
                </c:pt>
                <c:pt idx="6">
                  <c:v>6.4341109613987379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Hoja1!$D$20</c:f>
              <c:strCache>
                <c:ptCount val="1"/>
                <c:pt idx="0">
                  <c:v>Esperanza de vida al nacer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Hoja1!$A$21:$A$27</c:f>
              <c:strCache>
                <c:ptCount val="7"/>
                <c:pt idx="0">
                  <c:v>1985-1990</c:v>
                </c:pt>
                <c:pt idx="1">
                  <c:v>1990-1995</c:v>
                </c:pt>
                <c:pt idx="2">
                  <c:v>1995-2000</c:v>
                </c:pt>
                <c:pt idx="3">
                  <c:v>2000-2005</c:v>
                </c:pt>
                <c:pt idx="4">
                  <c:v>2005-2010</c:v>
                </c:pt>
                <c:pt idx="5">
                  <c:v>2010-2015</c:v>
                </c:pt>
                <c:pt idx="6">
                  <c:v>2015-2020</c:v>
                </c:pt>
              </c:strCache>
            </c:strRef>
          </c:cat>
          <c:val>
            <c:numRef>
              <c:f>Hoja1!$D$21:$D$27</c:f>
              <c:numCache>
                <c:formatCode>0.00</c:formatCode>
                <c:ptCount val="7"/>
                <c:pt idx="0">
                  <c:v>68.900000000000006</c:v>
                </c:pt>
                <c:pt idx="1">
                  <c:v>69.599999999999994</c:v>
                </c:pt>
                <c:pt idx="2">
                  <c:v>71.209999999999994</c:v>
                </c:pt>
                <c:pt idx="3">
                  <c:v>73.08</c:v>
                </c:pt>
                <c:pt idx="4">
                  <c:v>74.3</c:v>
                </c:pt>
                <c:pt idx="5">
                  <c:v>75.33</c:v>
                </c:pt>
                <c:pt idx="6">
                  <c:v>76.069999999999993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Hoja1!$E$20</c:f>
              <c:strCache>
                <c:ptCount val="1"/>
                <c:pt idx="0">
                  <c:v>Tasa global de fecundidad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Hoja1!$A$21:$A$27</c:f>
              <c:strCache>
                <c:ptCount val="7"/>
                <c:pt idx="0">
                  <c:v>1985-1990</c:v>
                </c:pt>
                <c:pt idx="1">
                  <c:v>1990-1995</c:v>
                </c:pt>
                <c:pt idx="2">
                  <c:v>1995-2000</c:v>
                </c:pt>
                <c:pt idx="3">
                  <c:v>2000-2005</c:v>
                </c:pt>
                <c:pt idx="4">
                  <c:v>2005-2010</c:v>
                </c:pt>
                <c:pt idx="5">
                  <c:v>2010-2015</c:v>
                </c:pt>
                <c:pt idx="6">
                  <c:v>2015-2020</c:v>
                </c:pt>
              </c:strCache>
            </c:strRef>
          </c:cat>
          <c:val>
            <c:numRef>
              <c:f>Hoja1!$E$21:$E$27</c:f>
              <c:numCache>
                <c:formatCode>0.00</c:formatCode>
                <c:ptCount val="7"/>
                <c:pt idx="0">
                  <c:v>108.2</c:v>
                </c:pt>
                <c:pt idx="1">
                  <c:v>99.4</c:v>
                </c:pt>
                <c:pt idx="2">
                  <c:v>86.6</c:v>
                </c:pt>
                <c:pt idx="3">
                  <c:v>73.7</c:v>
                </c:pt>
                <c:pt idx="4">
                  <c:v>66.900000000000006</c:v>
                </c:pt>
                <c:pt idx="5">
                  <c:v>64.099999999999994</c:v>
                </c:pt>
                <c:pt idx="6">
                  <c:v>62.9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7709120"/>
        <c:axId val="-147708032"/>
      </c:lineChart>
      <c:catAx>
        <c:axId val="-14770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-147708032"/>
        <c:crosses val="autoZero"/>
        <c:auto val="1"/>
        <c:lblAlgn val="ctr"/>
        <c:lblOffset val="100"/>
        <c:noMultiLvlLbl val="0"/>
      </c:catAx>
      <c:valAx>
        <c:axId val="-14770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0">
                    <a:solidFill>
                      <a:sysClr val="windowText" lastClr="000000"/>
                    </a:solidFill>
                  </a:rPr>
                  <a:t>Tasas por mil habitantes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CO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-14770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65916760404938"/>
          <c:y val="3.6018336607727602E-2"/>
          <c:w val="0.72630775804187264"/>
          <c:h val="0.8330713817943675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Hoja2!$A$4:$A$20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Hoja2!$B$4:$B$20</c:f>
              <c:numCache>
                <c:formatCode>0</c:formatCode>
                <c:ptCount val="17"/>
                <c:pt idx="0">
                  <c:v>-18.491193845364357</c:v>
                </c:pt>
                <c:pt idx="1">
                  <c:v>-16.337763731553299</c:v>
                </c:pt>
                <c:pt idx="2">
                  <c:v>-13.404822461650578</c:v>
                </c:pt>
                <c:pt idx="3">
                  <c:v>-9.5887203025187482</c:v>
                </c:pt>
                <c:pt idx="4">
                  <c:v>-7.4183885622824866</c:v>
                </c:pt>
                <c:pt idx="5">
                  <c:v>-5.9558887913707999</c:v>
                </c:pt>
                <c:pt idx="6">
                  <c:v>-5.5816094013769781</c:v>
                </c:pt>
                <c:pt idx="7">
                  <c:v>-5.0114340520936604</c:v>
                </c:pt>
                <c:pt idx="8">
                  <c:v>-4.3345544588730416</c:v>
                </c:pt>
                <c:pt idx="9">
                  <c:v>-3.6751873942375601</c:v>
                </c:pt>
                <c:pt idx="10">
                  <c:v>-3.284210011871874</c:v>
                </c:pt>
                <c:pt idx="11">
                  <c:v>-2.0581293768594335</c:v>
                </c:pt>
                <c:pt idx="12">
                  <c:v>-1.9363562129767817</c:v>
                </c:pt>
                <c:pt idx="13">
                  <c:v>-1.11286010136903</c:v>
                </c:pt>
                <c:pt idx="14">
                  <c:v>-0.85526302392496456</c:v>
                </c:pt>
                <c:pt idx="15">
                  <c:v>-0.47080193126536257</c:v>
                </c:pt>
                <c:pt idx="16">
                  <c:v>-0.48281634041097432</c:v>
                </c:pt>
              </c:numCache>
            </c:numRef>
          </c:val>
        </c:ser>
        <c:ser>
          <c:idx val="1"/>
          <c:order val="1"/>
          <c:tx>
            <c:strRef>
              <c:f>Hoja2!$C$3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Hoja2!$A$4:$A$20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Hoja2!$C$4:$C$20</c:f>
              <c:numCache>
                <c:formatCode>0</c:formatCode>
                <c:ptCount val="17"/>
                <c:pt idx="0">
                  <c:v>17.404770492574528</c:v>
                </c:pt>
                <c:pt idx="1">
                  <c:v>15.301409820126414</c:v>
                </c:pt>
                <c:pt idx="2">
                  <c:v>12.547046277855324</c:v>
                </c:pt>
                <c:pt idx="3">
                  <c:v>10.257264729405492</c:v>
                </c:pt>
                <c:pt idx="4">
                  <c:v>7.9159283014725483</c:v>
                </c:pt>
                <c:pt idx="5">
                  <c:v>6.405742782316886</c:v>
                </c:pt>
                <c:pt idx="6">
                  <c:v>5.7122022362663998</c:v>
                </c:pt>
                <c:pt idx="7">
                  <c:v>5.4062054040491319</c:v>
                </c:pt>
                <c:pt idx="8">
                  <c:v>4.2827794940957009</c:v>
                </c:pt>
                <c:pt idx="9">
                  <c:v>3.6725500650806837</c:v>
                </c:pt>
                <c:pt idx="10">
                  <c:v>3.1789561999153162</c:v>
                </c:pt>
                <c:pt idx="11">
                  <c:v>1.9633979958285641</c:v>
                </c:pt>
                <c:pt idx="12">
                  <c:v>2.26939482804586</c:v>
                </c:pt>
                <c:pt idx="13">
                  <c:v>1.195955588313707</c:v>
                </c:pt>
                <c:pt idx="14">
                  <c:v>1.1363636363636365</c:v>
                </c:pt>
                <c:pt idx="15">
                  <c:v>0.55749839258550771</c:v>
                </c:pt>
                <c:pt idx="16">
                  <c:v>0.79253375570435969</c:v>
                </c:pt>
              </c:numCache>
            </c:numRef>
          </c:val>
        </c:ser>
        <c:ser>
          <c:idx val="2"/>
          <c:order val="2"/>
          <c:tx>
            <c:strRef>
              <c:f>Hoja2!$D$3</c:f>
              <c:strCache>
                <c:ptCount val="1"/>
                <c:pt idx="0">
                  <c:v>Hombre</c:v>
                </c:pt>
              </c:strCache>
            </c:strRef>
          </c:tx>
          <c:spPr>
            <a:pattFill prst="sphere">
              <a:fgClr>
                <a:schemeClr val="bg1">
                  <a:lumMod val="8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Hoja2!$A$4:$A$20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Hoja2!$D$4:$D$20</c:f>
              <c:numCache>
                <c:formatCode>0</c:formatCode>
                <c:ptCount val="17"/>
                <c:pt idx="0">
                  <c:v>-11.668305473615201</c:v>
                </c:pt>
                <c:pt idx="1">
                  <c:v>-11.942456279425526</c:v>
                </c:pt>
                <c:pt idx="2">
                  <c:v>-12.147878824835686</c:v>
                </c:pt>
                <c:pt idx="3">
                  <c:v>-10.095304881612099</c:v>
                </c:pt>
                <c:pt idx="4">
                  <c:v>-9.0984275075651908</c:v>
                </c:pt>
                <c:pt idx="5">
                  <c:v>-8.41101786426613</c:v>
                </c:pt>
                <c:pt idx="6">
                  <c:v>-7.6273124328279645</c:v>
                </c:pt>
                <c:pt idx="7">
                  <c:v>-6.191895400923328</c:v>
                </c:pt>
                <c:pt idx="8">
                  <c:v>-5.1713887173858399</c:v>
                </c:pt>
                <c:pt idx="9">
                  <c:v>-4.0346410758704101</c:v>
                </c:pt>
                <c:pt idx="10">
                  <c:v>-3.5797133485272346</c:v>
                </c:pt>
                <c:pt idx="11">
                  <c:v>-2.6231074320530299</c:v>
                </c:pt>
                <c:pt idx="12">
                  <c:v>-2.5161403428536597</c:v>
                </c:pt>
                <c:pt idx="13">
                  <c:v>-1.71617388122842</c:v>
                </c:pt>
                <c:pt idx="14">
                  <c:v>-1.4366874248880135</c:v>
                </c:pt>
                <c:pt idx="15">
                  <c:v>-0.88863989186414905</c:v>
                </c:pt>
                <c:pt idx="16">
                  <c:v>-0.85090922025819704</c:v>
                </c:pt>
              </c:numCache>
            </c:numRef>
          </c:val>
        </c:ser>
        <c:ser>
          <c:idx val="3"/>
          <c:order val="3"/>
          <c:tx>
            <c:strRef>
              <c:f>Hoja2!$E$3</c:f>
              <c:strCache>
                <c:ptCount val="1"/>
                <c:pt idx="0">
                  <c:v>Mujer</c:v>
                </c:pt>
              </c:strCache>
            </c:strRef>
          </c:tx>
          <c:spPr>
            <a:pattFill prst="sphere">
              <a:fgClr>
                <a:schemeClr val="bg1">
                  <a:lumMod val="8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>
              <a:softEdge rad="0"/>
            </a:effectLst>
          </c:spPr>
          <c:invertIfNegative val="0"/>
          <c:cat>
            <c:strRef>
              <c:f>Hoja2!$A$4:$A$20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Hoja2!$E$4:$E$20</c:f>
              <c:numCache>
                <c:formatCode>0</c:formatCode>
                <c:ptCount val="17"/>
                <c:pt idx="0">
                  <c:v>10.811430261358176</c:v>
                </c:pt>
                <c:pt idx="1">
                  <c:v>11.17309280001972</c:v>
                </c:pt>
                <c:pt idx="2">
                  <c:v>11.363227483888458</c:v>
                </c:pt>
                <c:pt idx="3">
                  <c:v>10.133821300506437</c:v>
                </c:pt>
                <c:pt idx="4">
                  <c:v>9.6366123248678424</c:v>
                </c:pt>
                <c:pt idx="5">
                  <c:v>8.9323869727551664</c:v>
                </c:pt>
                <c:pt idx="6">
                  <c:v>7.8555321429891691</c:v>
                </c:pt>
                <c:pt idx="7">
                  <c:v>6.5322292459921494</c:v>
                </c:pt>
                <c:pt idx="8">
                  <c:v>5.0180523209246797</c:v>
                </c:pt>
                <c:pt idx="9">
                  <c:v>4.0872179709930627</c:v>
                </c:pt>
                <c:pt idx="10">
                  <c:v>3.6423792096410486</c:v>
                </c:pt>
                <c:pt idx="11">
                  <c:v>2.7634221778615751</c:v>
                </c:pt>
                <c:pt idx="12">
                  <c:v>2.6122262886153353</c:v>
                </c:pt>
                <c:pt idx="13">
                  <c:v>1.8438012149889698</c:v>
                </c:pt>
                <c:pt idx="14">
                  <c:v>1.5183665422103918</c:v>
                </c:pt>
                <c:pt idx="15">
                  <c:v>0.9814794277475879</c:v>
                </c:pt>
                <c:pt idx="16">
                  <c:v>1.0947223146402481</c:v>
                </c:pt>
              </c:numCache>
            </c:numRef>
          </c:val>
        </c:ser>
        <c:ser>
          <c:idx val="4"/>
          <c:order val="4"/>
          <c:tx>
            <c:strRef>
              <c:f>Hoja2!$F$3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Hoja2!$A$4:$A$20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Hoja2!$F$4:$F$20</c:f>
              <c:numCache>
                <c:formatCode>0</c:formatCode>
                <c:ptCount val="17"/>
                <c:pt idx="0">
                  <c:v>-7.995868105164023</c:v>
                </c:pt>
                <c:pt idx="1">
                  <c:v>-7.9779491734772998</c:v>
                </c:pt>
                <c:pt idx="2">
                  <c:v>-7.989639599497508</c:v>
                </c:pt>
                <c:pt idx="3">
                  <c:v>-8.0315143222092207</c:v>
                </c:pt>
                <c:pt idx="4">
                  <c:v>-8.3963131079380879</c:v>
                </c:pt>
                <c:pt idx="5">
                  <c:v>-8.52950730603715</c:v>
                </c:pt>
                <c:pt idx="6">
                  <c:v>-7.8805928387516495</c:v>
                </c:pt>
                <c:pt idx="7">
                  <c:v>-7.15377413905283</c:v>
                </c:pt>
                <c:pt idx="8">
                  <c:v>-6.5103215921210404</c:v>
                </c:pt>
                <c:pt idx="9">
                  <c:v>-5.8772179469120465</c:v>
                </c:pt>
                <c:pt idx="10">
                  <c:v>-5.8551786191690365</c:v>
                </c:pt>
                <c:pt idx="11">
                  <c:v>-5.3473158494387967</c:v>
                </c:pt>
                <c:pt idx="12">
                  <c:v>-4.1914968440640896</c:v>
                </c:pt>
                <c:pt idx="13">
                  <c:v>-3.1191398146205098</c:v>
                </c:pt>
                <c:pt idx="14">
                  <c:v>-2.24628661283321</c:v>
                </c:pt>
                <c:pt idx="15">
                  <c:v>-1.45047523498235</c:v>
                </c:pt>
                <c:pt idx="16">
                  <c:v>-1.4474088937311498</c:v>
                </c:pt>
              </c:numCache>
            </c:numRef>
          </c:val>
        </c:ser>
        <c:ser>
          <c:idx val="5"/>
          <c:order val="5"/>
          <c:tx>
            <c:strRef>
              <c:f>Hoja2!$G$3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Hoja2!$A$4:$A$20</c:f>
              <c:strCache>
                <c:ptCount val="17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Hoja2!$G$4:$G$20</c:f>
              <c:numCache>
                <c:formatCode>0</c:formatCode>
                <c:ptCount val="17"/>
                <c:pt idx="0">
                  <c:v>7.4267730468204505</c:v>
                </c:pt>
                <c:pt idx="1">
                  <c:v>7.420399984629686</c:v>
                </c:pt>
                <c:pt idx="2">
                  <c:v>7.417588339545496</c:v>
                </c:pt>
                <c:pt idx="3">
                  <c:v>7.421524642663341</c:v>
                </c:pt>
                <c:pt idx="4">
                  <c:v>7.7694188610775452</c:v>
                </c:pt>
                <c:pt idx="5">
                  <c:v>7.8379292796284021</c:v>
                </c:pt>
                <c:pt idx="6">
                  <c:v>7.3323017719924541</c:v>
                </c:pt>
                <c:pt idx="7">
                  <c:v>6.9189899446199643</c:v>
                </c:pt>
                <c:pt idx="8">
                  <c:v>6.5232040382721115</c:v>
                </c:pt>
                <c:pt idx="9">
                  <c:v>6.1582525063472806</c:v>
                </c:pt>
                <c:pt idx="10">
                  <c:v>6.3651895845419455</c:v>
                </c:pt>
                <c:pt idx="11">
                  <c:v>5.8953636909777121</c:v>
                </c:pt>
                <c:pt idx="12">
                  <c:v>4.7439013075086853</c:v>
                </c:pt>
                <c:pt idx="13">
                  <c:v>3.6588874695287967</c:v>
                </c:pt>
                <c:pt idx="14">
                  <c:v>2.8159562732956465</c:v>
                </c:pt>
                <c:pt idx="15">
                  <c:v>1.9981424398143965</c:v>
                </c:pt>
                <c:pt idx="16">
                  <c:v>2.2961768187360572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-147706944"/>
        <c:axId val="-147706400"/>
      </c:barChart>
      <c:catAx>
        <c:axId val="-1477069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CO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Grupo</a:t>
                </a:r>
                <a:r>
                  <a:rPr lang="es-CO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de edad</a:t>
                </a:r>
                <a:endParaRPr lang="es-CO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0173792908771592E-2"/>
              <c:y val="0.3187785220364153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-147706400"/>
        <c:crosses val="autoZero"/>
        <c:auto val="0"/>
        <c:lblAlgn val="ctr"/>
        <c:lblOffset val="100"/>
        <c:noMultiLvlLbl val="0"/>
      </c:catAx>
      <c:valAx>
        <c:axId val="-147706400"/>
        <c:scaling>
          <c:orientation val="minMax"/>
          <c:max val="40"/>
          <c:min val="-4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;[Black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-147706944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CO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0.87984</cdr:x>
      <cdr:y>0.13364</cdr:y>
    </cdr:from>
    <cdr:to>
      <cdr:x>0.97947</cdr:x>
      <cdr:y>0.19607</cdr:y>
    </cdr:to>
    <cdr:sp macro="" textlink="">
      <cdr:nvSpPr>
        <cdr:cNvPr id="5" name="CuadroTexto 4"/>
        <cdr:cNvSpPr txBox="1"/>
      </cdr:nvSpPr>
      <cdr:spPr>
        <a:xfrm xmlns:a="http://schemas.openxmlformats.org/drawingml/2006/main">
          <a:off x="4937760" y="401055"/>
          <a:ext cx="559154" cy="187342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O" sz="9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0.88267</cdr:x>
      <cdr:y>0.34576</cdr:y>
    </cdr:from>
    <cdr:to>
      <cdr:x>0.98218</cdr:x>
      <cdr:y>0.41068</cdr:y>
    </cdr:to>
    <cdr:sp macro="" textlink="">
      <cdr:nvSpPr>
        <cdr:cNvPr id="6" name="CuadroTexto 5"/>
        <cdr:cNvSpPr txBox="1"/>
      </cdr:nvSpPr>
      <cdr:spPr>
        <a:xfrm xmlns:a="http://schemas.openxmlformats.org/drawingml/2006/main">
          <a:off x="4953663" y="1037621"/>
          <a:ext cx="558459" cy="19483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O" sz="1000" b="1">
              <a:latin typeface="Arial" panose="020B0604020202020204" pitchFamily="34" charset="0"/>
              <a:cs typeface="Arial" panose="020B0604020202020204" pitchFamily="34" charset="0"/>
            </a:rPr>
            <a:t>1964</a:t>
          </a:r>
        </a:p>
      </cdr:txBody>
    </cdr:sp>
  </cdr:relSizeAnchor>
  <cdr:relSizeAnchor xmlns:cdr="http://schemas.openxmlformats.org/drawingml/2006/chartDrawing">
    <cdr:from>
      <cdr:x>0.88267</cdr:x>
      <cdr:y>0.23772</cdr:y>
    </cdr:from>
    <cdr:to>
      <cdr:x>0.97984</cdr:x>
      <cdr:y>0.30735</cdr:y>
    </cdr:to>
    <cdr:sp macro="" textlink="">
      <cdr:nvSpPr>
        <cdr:cNvPr id="7" name="CuadroTexto 6"/>
        <cdr:cNvSpPr txBox="1"/>
      </cdr:nvSpPr>
      <cdr:spPr>
        <a:xfrm xmlns:a="http://schemas.openxmlformats.org/drawingml/2006/main">
          <a:off x="4953663" y="713400"/>
          <a:ext cx="545326" cy="208952"/>
        </a:xfrm>
        <a:prstGeom xmlns:a="http://schemas.openxmlformats.org/drawingml/2006/main" prst="rect">
          <a:avLst/>
        </a:prstGeom>
        <a:pattFill xmlns:a="http://schemas.openxmlformats.org/drawingml/2006/main" prst="sphere">
          <a:fgClr>
            <a:schemeClr val="bg1">
              <a:lumMod val="85000"/>
            </a:schemeClr>
          </a:fgClr>
          <a:bgClr>
            <a:schemeClr val="bg1"/>
          </a:bgClr>
        </a:patt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O" sz="1000" b="1" i="0">
              <a:latin typeface="Arial" panose="020B0604020202020204" pitchFamily="34" charset="0"/>
              <a:cs typeface="Arial" panose="020B0604020202020204" pitchFamily="34" charset="0"/>
            </a:rPr>
            <a:t>1993</a:t>
          </a:r>
        </a:p>
      </cdr:txBody>
    </cdr:sp>
  </cdr:relSizeAnchor>
  <cdr:relSizeAnchor xmlns:cdr="http://schemas.openxmlformats.org/drawingml/2006/chartDrawing">
    <cdr:from>
      <cdr:x>0.22811</cdr:x>
      <cdr:y>0.22135</cdr:y>
    </cdr:from>
    <cdr:to>
      <cdr:x>0.352</cdr:x>
      <cdr:y>0.2782</cdr:y>
    </cdr:to>
    <cdr:sp macro="" textlink="">
      <cdr:nvSpPr>
        <cdr:cNvPr id="8" name="CuadroTexto 1"/>
        <cdr:cNvSpPr txBox="1"/>
      </cdr:nvSpPr>
      <cdr:spPr>
        <a:xfrm xmlns:a="http://schemas.openxmlformats.org/drawingml/2006/main">
          <a:off x="1280160" y="664274"/>
          <a:ext cx="695310" cy="17061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CO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Hombres</a:t>
          </a:r>
        </a:p>
      </cdr:txBody>
    </cdr:sp>
  </cdr:relSizeAnchor>
  <cdr:relSizeAnchor xmlns:cdr="http://schemas.openxmlformats.org/drawingml/2006/chartDrawing">
    <cdr:from>
      <cdr:x>0.677</cdr:x>
      <cdr:y>0.21349</cdr:y>
    </cdr:from>
    <cdr:to>
      <cdr:x>0.78714</cdr:x>
      <cdr:y>0.27661</cdr:y>
    </cdr:to>
    <cdr:sp macro="" textlink="">
      <cdr:nvSpPr>
        <cdr:cNvPr id="9" name="CuadroTexto 1"/>
        <cdr:cNvSpPr txBox="1"/>
      </cdr:nvSpPr>
      <cdr:spPr>
        <a:xfrm xmlns:a="http://schemas.openxmlformats.org/drawingml/2006/main">
          <a:off x="4880132" y="828040"/>
          <a:ext cx="793992" cy="244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CO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Mujeres</a:t>
          </a:r>
        </a:p>
      </cdr:txBody>
    </cdr:sp>
  </cdr:relSizeAnchor>
  <cdr:relSizeAnchor xmlns:cdr="http://schemas.openxmlformats.org/drawingml/2006/chartDrawing">
    <cdr:from>
      <cdr:x>0.37585</cdr:x>
      <cdr:y>0.92734</cdr:y>
    </cdr:from>
    <cdr:to>
      <cdr:x>0.65315</cdr:x>
      <cdr:y>0.99018</cdr:y>
    </cdr:to>
    <cdr:sp macro="" textlink="">
      <cdr:nvSpPr>
        <cdr:cNvPr id="10" name="CuadroTexto 9"/>
        <cdr:cNvSpPr txBox="1"/>
      </cdr:nvSpPr>
      <cdr:spPr>
        <a:xfrm xmlns:a="http://schemas.openxmlformats.org/drawingml/2006/main">
          <a:off x="2109305" y="2782956"/>
          <a:ext cx="1556248" cy="188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O" sz="1000" b="1">
              <a:latin typeface="Arial" panose="020B0604020202020204" pitchFamily="34" charset="0"/>
              <a:cs typeface="Arial" panose="020B0604020202020204" pitchFamily="34" charset="0"/>
            </a:rPr>
            <a:t>%</a:t>
          </a:r>
          <a:r>
            <a:rPr lang="es-CO" sz="1000" b="1" baseline="0">
              <a:latin typeface="Arial" panose="020B0604020202020204" pitchFamily="34" charset="0"/>
              <a:cs typeface="Arial" panose="020B0604020202020204" pitchFamily="34" charset="0"/>
            </a:rPr>
            <a:t> de población</a:t>
          </a:r>
          <a:endParaRPr lang="es-CO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2015-01-20T02:19:00Z</dcterms:created>
  <dcterms:modified xsi:type="dcterms:W3CDTF">2015-01-20T02:21:00Z</dcterms:modified>
</cp:coreProperties>
</file>