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15" w:rsidRPr="00FD0715" w:rsidRDefault="00FD0715" w:rsidP="00FD0715">
      <w:pPr>
        <w:pStyle w:val="NormalWeb"/>
        <w:spacing w:line="252" w:lineRule="atLeast"/>
        <w:jc w:val="both"/>
        <w:rPr>
          <w:rStyle w:val="Textoennegrita"/>
          <w:color w:val="111111"/>
        </w:rPr>
      </w:pPr>
      <w:r w:rsidRPr="00FD0715">
        <w:rPr>
          <w:rStyle w:val="Textoennegrita"/>
          <w:color w:val="111111"/>
        </w:rPr>
        <w:t>Hoja de presentación:</w:t>
      </w:r>
      <w:bookmarkStart w:id="0" w:name="_GoBack"/>
      <w:bookmarkEnd w:id="0"/>
    </w:p>
    <w:p w:rsidR="00FD0715" w:rsidRPr="00FD0715" w:rsidRDefault="00FD0715" w:rsidP="00FD0715">
      <w:pPr>
        <w:pStyle w:val="NormalWeb"/>
        <w:spacing w:line="252" w:lineRule="atLeast"/>
        <w:jc w:val="both"/>
        <w:rPr>
          <w:rStyle w:val="Textoennegrita"/>
          <w:b w:val="0"/>
          <w:color w:val="111111"/>
        </w:rPr>
      </w:pPr>
      <w:r w:rsidRPr="00FD0715">
        <w:rPr>
          <w:rStyle w:val="Textoennegrita"/>
          <w:b w:val="0"/>
          <w:color w:val="111111"/>
        </w:rPr>
        <w:t xml:space="preserve">Miguel Armando Chacón Suárez* 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rStyle w:val="Textoennegrita"/>
          <w:color w:val="111111"/>
        </w:rPr>
      </w:pPr>
      <w:r w:rsidRPr="00FD0715">
        <w:rPr>
          <w:rStyle w:val="Textoennegrita"/>
          <w:b w:val="0"/>
          <w:color w:val="111111"/>
        </w:rPr>
        <w:t>Angélica Lorena Castillo Gutiérrez</w:t>
      </w:r>
      <w:r w:rsidRPr="00FD0715">
        <w:rPr>
          <w:rStyle w:val="Textoennegrita"/>
          <w:color w:val="111111"/>
        </w:rPr>
        <w:t>*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rStyle w:val="Textoennegrita"/>
          <w:b w:val="0"/>
          <w:color w:val="111111"/>
        </w:rPr>
      </w:pPr>
      <w:r w:rsidRPr="00FD0715">
        <w:rPr>
          <w:rStyle w:val="Textoennegrita"/>
          <w:b w:val="0"/>
          <w:color w:val="111111"/>
        </w:rPr>
        <w:t>* Médico general, estudiante de Especialización Epidemiología, Universidad Autónoma de Bucaramanga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rStyle w:val="Textoennegrita"/>
          <w:b w:val="0"/>
          <w:color w:val="111111"/>
        </w:rPr>
      </w:pPr>
      <w:r w:rsidRPr="00FD0715">
        <w:rPr>
          <w:rStyle w:val="Textoennegrita"/>
          <w:b w:val="0"/>
          <w:color w:val="111111"/>
        </w:rPr>
        <w:t xml:space="preserve">Correspondencia: Miguel Armando Chacón Suárez. Médico, Trasversal 134 #19. Edificio El Bosque. Apto. 304. Torre 3. Pamplona, Norte de Santander. E-mail: </w:t>
      </w:r>
      <w:hyperlink r:id="rId5" w:history="1">
        <w:r w:rsidRPr="00FD0715">
          <w:rPr>
            <w:rStyle w:val="Hipervnculo"/>
          </w:rPr>
          <w:t>miguelchacon28@gmail.com</w:t>
        </w:r>
      </w:hyperlink>
      <w:r w:rsidRPr="00FD0715">
        <w:rPr>
          <w:rStyle w:val="Textoennegrita"/>
          <w:b w:val="0"/>
          <w:color w:val="111111"/>
        </w:rPr>
        <w:t>. Teléfono: 3044121597.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Style w:val="Textoennegrita"/>
          <w:rFonts w:ascii="Times New Roman" w:hAnsi="Times New Roman" w:cs="Times New Roman"/>
          <w:color w:val="111111"/>
          <w:sz w:val="24"/>
          <w:szCs w:val="24"/>
        </w:rPr>
        <w:t>Título:</w:t>
      </w:r>
      <w:r w:rsidRPr="00FD0715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</w:rPr>
        <w:t> 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>Asociación de infección por Chlamydia trachomatis con el diagnóstico de cervicitis aguda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Resúmenes:</w:t>
      </w:r>
      <w:r w:rsidRPr="00FD0715">
        <w:rPr>
          <w:rStyle w:val="apple-converted-space"/>
          <w:color w:val="111111"/>
        </w:rPr>
        <w:t> 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proofErr w:type="spellStart"/>
      <w:r w:rsidRPr="00FD0715">
        <w:rPr>
          <w:rStyle w:val="Textoennegrita"/>
          <w:color w:val="111111"/>
        </w:rPr>
        <w:t>Abstract</w:t>
      </w:r>
      <w:proofErr w:type="spellEnd"/>
      <w:r w:rsidRPr="00FD0715">
        <w:rPr>
          <w:rStyle w:val="Textoennegrita"/>
          <w:color w:val="111111"/>
        </w:rPr>
        <w:t>:</w:t>
      </w:r>
      <w:r w:rsidRPr="00FD0715">
        <w:rPr>
          <w:rStyle w:val="apple-converted-space"/>
          <w:color w:val="111111"/>
        </w:rPr>
        <w:t> 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Palabras Clave:</w:t>
      </w:r>
      <w:r w:rsidRPr="00FD0715">
        <w:rPr>
          <w:rStyle w:val="apple-converted-space"/>
          <w:color w:val="111111"/>
        </w:rPr>
        <w:t> 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15">
        <w:rPr>
          <w:rStyle w:val="Textoennegrita"/>
          <w:rFonts w:ascii="Times New Roman" w:hAnsi="Times New Roman" w:cs="Times New Roman"/>
          <w:color w:val="111111"/>
          <w:sz w:val="24"/>
          <w:szCs w:val="24"/>
        </w:rPr>
        <w:t>Texto: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Fonts w:ascii="Times New Roman" w:eastAsia="Times New Roman" w:hAnsi="Times New Roman" w:cs="Times New Roman"/>
          <w:sz w:val="24"/>
          <w:szCs w:val="24"/>
        </w:rPr>
        <w:t>Sr. Editor: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Las infecciones de transmisión sexual se consideran un problema de salud pública en el mundo debido a su creciente incidencia y elevada morbimortalidad (1). Las infecciones por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Chlamydia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son las más comunes y costosas de las enfermedades de transmisión sexual bacterianas (2). En los estudios llevados a cabo en diferentes países se han encontrado prevalencias de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C.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entre 1,7 y 25 %, siendo más alta en la población menor de 25 años (1). La infección por clamidia genital causa cervicitis y salpingitis en mujeres, y uretritis y conjuntivitis tanto en hombres como en mujeres. Sin embargo, las infecciones por clamidia suelen producir pocos o ningún síntoma (en aproximadamente el 70% de las mujeres y el 50% de los hombres) y pueden permanecer sin ser detectadas y sin tratamiento. Si no se trata, esta infección de transmisión sexual puede progresar y causar complicaciones con graves consecuencias sobre la salud reproductiva de las mujeres, incluida la enfermedad inflamatoria pélvica (EPI) que puede conducir al embarazo ectópico y a la infertilidad de las trompas (3). 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Las enfermedades humanas causadas por clamidias se pueden dividir en dos tipos: 1. Agentes clamidiales transmitidos por contacto directo (infecciones genitales y oculares de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C.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e infecciones oculares por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C. pneumoniae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>) y 2. Agentes clamidiales que se transmiten por vía respiratoria (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 xml:space="preserve">C. psittaci 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 xml:space="preserve"> C. pneumoniae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). Los agentes clamidiales son parásitos obligatorios intracitoplasmáticos de células de mamíferos y pueden dañar células infectadas en tejidos, más estrechamente reconocidos en el cuello 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lastRenderedPageBreak/>
        <w:t>del útero, estos organismos infectan las células epiteliales columnares típicamente localizadas en el endocérvix (4). En los individuos infectados el agente clamidial causa daño tisular e inducción de interleucina-1α, interleucina-1β y factor de necrosis tumoral alfa, que son citoquinas implicadas en el proceso de inflamación (5).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Jaimes (6) trató de determinar la asociación existente entre la infección por Chlamydia trachomatis y la presencia de cervicitis aguda en la población consultante a los servicios de urgencias y consulta externa del Hospital Universitario de Santander (HUS), encontró que no hubo asociación entre cervicitis aguda y la infección por Chlamydia. De la misma manera, múltiples estudios han reportado hallazgos similares. Burnett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(7) realizaron una revisión retrospectiva con un total de 1469 pacientes diagnosticados con cervicitis, y 343 con EPI, encontraron que de los diagnosticados con cervicitis un 9,3% fueron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Chlamydia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positivos y de los diagnosticados con EPI un 10%. Efosa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(8) realizaron estudios citopatológicos cervicales en trabajadoras sexuales en Nigeria, encontrando baja asociación entre infección por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Chlamydia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y cervicitis, incluso en esta población de riesgo; en concordancia con Gaydos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. (9) que en un estudio transversal con 324 mujeres encontró que la prevalencia de infección con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C.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N. gonorrhoeae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fue de 11.1% y 4.6% respectivamente.</w:t>
      </w: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15" w:rsidRPr="00FD0715" w:rsidRDefault="00FD0715" w:rsidP="00FD0715">
      <w:pPr>
        <w:jc w:val="both"/>
        <w:rPr>
          <w:rFonts w:ascii="Times New Roman" w:hAnsi="Times New Roman" w:cs="Times New Roman"/>
          <w:sz w:val="24"/>
          <w:szCs w:val="24"/>
        </w:rPr>
      </w:pP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Wiesenfeld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 (10) afirma que aunque la cervicitis se correlaciona con la infección endocervical con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C. trachomatis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FD0715">
        <w:rPr>
          <w:rFonts w:ascii="Times New Roman" w:eastAsia="Times New Roman" w:hAnsi="Times New Roman" w:cs="Times New Roman"/>
          <w:i/>
          <w:sz w:val="24"/>
          <w:szCs w:val="24"/>
        </w:rPr>
        <w:t>N. gonorrhoeae</w:t>
      </w:r>
      <w:r w:rsidRPr="00FD0715">
        <w:rPr>
          <w:rFonts w:ascii="Times New Roman" w:eastAsia="Times New Roman" w:hAnsi="Times New Roman" w:cs="Times New Roman"/>
          <w:sz w:val="24"/>
          <w:szCs w:val="24"/>
        </w:rPr>
        <w:t>, la mayoría de las mujeres no están infectadas con estos 2 organismos de transmisión sexual. El descubrimiento de asociaciones fisiopatológicas, explicadas anteriormente, entre organismos y hallazgos clínicos no implica necesariamente una relación causal entre el microbio y la enfermedad. El estudio de Jaimes concuerda con hallazgos internacionales, lo que debería traducirse en mejoras de protocolos de identificación de la enfermedad, antes de embarcarse a formular tratamientos empíricos costosos e innecesarios, además de un posible cambio en políticas públicas y protocolos creados sin tener en cuenta estos nuevos hallazgos.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Introducción:</w:t>
      </w:r>
      <w:r w:rsidRPr="00FD0715">
        <w:rPr>
          <w:color w:val="111111"/>
        </w:rPr>
        <w:t xml:space="preserve"> 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Metodología:</w:t>
      </w:r>
      <w:r w:rsidRPr="00FD0715">
        <w:rPr>
          <w:color w:val="111111"/>
        </w:rPr>
        <w:t xml:space="preserve"> 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Resultados:</w:t>
      </w:r>
      <w:r w:rsidRPr="00FD0715">
        <w:rPr>
          <w:color w:val="111111"/>
        </w:rPr>
        <w:t xml:space="preserve"> 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Discusión:</w:t>
      </w:r>
      <w:r w:rsidRPr="00FD0715">
        <w:rPr>
          <w:color w:val="111111"/>
        </w:rPr>
        <w:t xml:space="preserve"> 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Conclusiones:</w:t>
      </w:r>
      <w:r w:rsidRPr="00FD0715">
        <w:rPr>
          <w:color w:val="111111"/>
        </w:rPr>
        <w:t xml:space="preserve"> 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Declaración de conflictos de interés:</w:t>
      </w:r>
      <w:r w:rsidRPr="00FD0715">
        <w:rPr>
          <w:rStyle w:val="apple-converted-space"/>
          <w:color w:val="111111"/>
        </w:rPr>
        <w:t> </w:t>
      </w:r>
      <w:r w:rsidRPr="00FD0715">
        <w:rPr>
          <w:color w:val="111111"/>
        </w:rPr>
        <w:t>No existen conflictos de interés por parte de los autores.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Tablas y figuras:</w:t>
      </w:r>
      <w:r w:rsidRPr="00FD0715">
        <w:rPr>
          <w:color w:val="111111"/>
        </w:rPr>
        <w:t xml:space="preserve"> </w:t>
      </w:r>
      <w:r w:rsidRPr="00FD0715">
        <w:rPr>
          <w:color w:val="111111"/>
        </w:rPr>
        <w:t>No aplica.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t>Abreviaturas:</w:t>
      </w:r>
      <w:r w:rsidRPr="00FD0715">
        <w:rPr>
          <w:rStyle w:val="apple-converted-space"/>
          <w:b/>
          <w:bCs/>
          <w:color w:val="111111"/>
        </w:rPr>
        <w:t> </w:t>
      </w:r>
      <w:r w:rsidRPr="00FD0715">
        <w:rPr>
          <w:rStyle w:val="apple-converted-space"/>
          <w:bCs/>
          <w:color w:val="111111"/>
        </w:rPr>
        <w:t>Enfermedad inflamatoria pélvica (</w:t>
      </w:r>
      <w:r w:rsidRPr="00FD0715">
        <w:rPr>
          <w:color w:val="111111"/>
        </w:rPr>
        <w:t>EPI), Hospital Universitario de Santander (HUS)</w:t>
      </w:r>
    </w:p>
    <w:p w:rsidR="00FD0715" w:rsidRPr="00FD0715" w:rsidRDefault="00FD0715" w:rsidP="00FD0715">
      <w:pPr>
        <w:pStyle w:val="NormalWeb"/>
        <w:spacing w:line="252" w:lineRule="atLeast"/>
        <w:jc w:val="both"/>
        <w:rPr>
          <w:color w:val="111111"/>
        </w:rPr>
      </w:pPr>
      <w:r w:rsidRPr="00FD0715">
        <w:rPr>
          <w:rStyle w:val="Textoennegrita"/>
          <w:color w:val="111111"/>
        </w:rPr>
        <w:lastRenderedPageBreak/>
        <w:t>Referencias:</w:t>
      </w:r>
      <w:r w:rsidRPr="00FD0715">
        <w:rPr>
          <w:rStyle w:val="apple-converted-space"/>
          <w:b/>
          <w:bCs/>
          <w:color w:val="111111"/>
        </w:rPr>
        <w:t> 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</w:rPr>
        <w:t xml:space="preserve">Paredes MC, Gómez YM, Torres AM, Fernández M, Tovar MB. Prevalencia de Chlamydia trachomatis y Neisseria gonorrhoeae en adolescentes de colegios de la zona Sabana Centro de Cundinamarca, Colombia. </w:t>
      </w:r>
      <w:proofErr w:type="spellStart"/>
      <w:r w:rsidRPr="00FD0715">
        <w:rPr>
          <w:color w:val="111111"/>
          <w:lang w:val="en-US"/>
        </w:rPr>
        <w:t>Biomédica</w:t>
      </w:r>
      <w:proofErr w:type="spellEnd"/>
      <w:r w:rsidRPr="00FD0715">
        <w:rPr>
          <w:color w:val="111111"/>
          <w:lang w:val="en-US"/>
        </w:rPr>
        <w:t>. 2015</w:t>
      </w:r>
      <w:proofErr w:type="gramStart"/>
      <w:r w:rsidRPr="00FD0715">
        <w:rPr>
          <w:color w:val="111111"/>
          <w:lang w:val="en-US"/>
        </w:rPr>
        <w:t>;35</w:t>
      </w:r>
      <w:proofErr w:type="gramEnd"/>
      <w:r w:rsidRPr="00FD0715">
        <w:rPr>
          <w:color w:val="111111"/>
          <w:lang w:val="en-US"/>
        </w:rPr>
        <w:t xml:space="preserve">(3):314-324.     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</w:rPr>
      </w:pPr>
      <w:r w:rsidRPr="00FD0715">
        <w:rPr>
          <w:color w:val="111111"/>
          <w:lang w:val="en-US"/>
        </w:rPr>
        <w:t xml:space="preserve">Hillis S, Black C, Newhall J, Walsh C, Groseclose SL. New opportunities for Chlamydia prevention: applications of science to public health practice. </w:t>
      </w:r>
      <w:r w:rsidRPr="00FD0715">
        <w:rPr>
          <w:color w:val="111111"/>
        </w:rPr>
        <w:t>Sex Transm Dis. May-Jun 1995</w:t>
      </w:r>
      <w:proofErr w:type="gramStart"/>
      <w:r w:rsidRPr="00FD0715">
        <w:rPr>
          <w:color w:val="111111"/>
        </w:rPr>
        <w:t>;22</w:t>
      </w:r>
      <w:proofErr w:type="gramEnd"/>
      <w:r w:rsidRPr="00FD0715">
        <w:rPr>
          <w:color w:val="111111"/>
        </w:rPr>
        <w:t xml:space="preserve">(3):197-202. 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</w:rPr>
        <w:t xml:space="preserve">JW van de </w:t>
      </w:r>
      <w:proofErr w:type="spellStart"/>
      <w:r w:rsidRPr="00FD0715">
        <w:rPr>
          <w:color w:val="111111"/>
        </w:rPr>
        <w:t>Laar</w:t>
      </w:r>
      <w:proofErr w:type="spellEnd"/>
      <w:r w:rsidRPr="00FD0715">
        <w:rPr>
          <w:color w:val="111111"/>
        </w:rPr>
        <w:t xml:space="preserve"> M, </w:t>
      </w:r>
      <w:proofErr w:type="spellStart"/>
      <w:r w:rsidRPr="00FD0715">
        <w:rPr>
          <w:color w:val="111111"/>
        </w:rPr>
        <w:t>Morré</w:t>
      </w:r>
      <w:proofErr w:type="spellEnd"/>
      <w:r w:rsidRPr="00FD0715">
        <w:rPr>
          <w:color w:val="111111"/>
        </w:rPr>
        <w:t xml:space="preserve"> SA. </w:t>
      </w:r>
      <w:r w:rsidRPr="00FD0715">
        <w:rPr>
          <w:color w:val="111111"/>
          <w:lang w:val="en-US"/>
        </w:rPr>
        <w:t xml:space="preserve">Chlamydia: A major challenge for public health. </w:t>
      </w:r>
      <w:proofErr w:type="spellStart"/>
      <w:r w:rsidRPr="00FD0715">
        <w:rPr>
          <w:color w:val="111111"/>
          <w:lang w:val="en-US"/>
        </w:rPr>
        <w:t>Eurosurveillance</w:t>
      </w:r>
      <w:proofErr w:type="spellEnd"/>
      <w:r w:rsidRPr="00FD0715">
        <w:rPr>
          <w:color w:val="111111"/>
          <w:lang w:val="en-US"/>
        </w:rPr>
        <w:t>. Oct 2007</w:t>
      </w:r>
      <w:proofErr w:type="gramStart"/>
      <w:r w:rsidRPr="00FD0715">
        <w:rPr>
          <w:color w:val="111111"/>
          <w:lang w:val="en-US"/>
        </w:rPr>
        <w:t>;12</w:t>
      </w:r>
      <w:proofErr w:type="gramEnd"/>
      <w:r w:rsidRPr="00FD0715">
        <w:rPr>
          <w:color w:val="111111"/>
          <w:lang w:val="en-US"/>
        </w:rPr>
        <w:t>(10);01.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  <w:lang w:val="en-US"/>
        </w:rPr>
        <w:t xml:space="preserve">Leppert P, Howard F. Primary care for women. 2nd ed. Philadelphia: Lippincott-Raven; 1997. 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  <w:lang w:val="en-US"/>
        </w:rPr>
        <w:t>Baron S, Becker Y, editors. Medical Microbiology 4th edition. Galveston (TX): University of Texas Medical Branch at Galveston; 1996.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</w:rPr>
        <w:t xml:space="preserve">Jaimes, JM. Asociación de infección por Chlamydia trachomatis con el diagnóstico de cervicitis aguda. </w:t>
      </w:r>
      <w:proofErr w:type="spellStart"/>
      <w:r w:rsidRPr="00FD0715">
        <w:rPr>
          <w:color w:val="111111"/>
          <w:lang w:val="en-US"/>
        </w:rPr>
        <w:t>MedUnab</w:t>
      </w:r>
      <w:proofErr w:type="spellEnd"/>
      <w:r w:rsidRPr="00FD0715">
        <w:rPr>
          <w:color w:val="111111"/>
          <w:lang w:val="en-US"/>
        </w:rPr>
        <w:t>. Ago 2015</w:t>
      </w:r>
      <w:proofErr w:type="gramStart"/>
      <w:r w:rsidRPr="00FD0715">
        <w:rPr>
          <w:color w:val="111111"/>
          <w:lang w:val="en-US"/>
        </w:rPr>
        <w:t>;18</w:t>
      </w:r>
      <w:proofErr w:type="gramEnd"/>
      <w:r w:rsidRPr="00FD0715">
        <w:rPr>
          <w:color w:val="111111"/>
          <w:lang w:val="en-US"/>
        </w:rPr>
        <w:t>(2):116-124.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r w:rsidRPr="00FD0715">
        <w:rPr>
          <w:color w:val="111111"/>
          <w:lang w:val="en-US"/>
        </w:rPr>
        <w:t xml:space="preserve">Burnett AM, Anderson CP, Zwank M. Laboratory-confirmed gonorrhea and/or chlamydia rates in clinically diagnosed pelvic inflammatory disease and cervicitis. Am J </w:t>
      </w:r>
      <w:proofErr w:type="spellStart"/>
      <w:r w:rsidRPr="00FD0715">
        <w:rPr>
          <w:color w:val="111111"/>
          <w:lang w:val="en-US"/>
        </w:rPr>
        <w:t>Emerg</w:t>
      </w:r>
      <w:proofErr w:type="spellEnd"/>
      <w:r w:rsidRPr="00FD0715">
        <w:rPr>
          <w:color w:val="111111"/>
          <w:lang w:val="en-US"/>
        </w:rPr>
        <w:t xml:space="preserve"> Med. Sept 2012</w:t>
      </w:r>
      <w:proofErr w:type="gramStart"/>
      <w:r w:rsidRPr="00FD0715">
        <w:rPr>
          <w:color w:val="111111"/>
          <w:lang w:val="en-US"/>
        </w:rPr>
        <w:t>;30</w:t>
      </w:r>
      <w:proofErr w:type="gramEnd"/>
      <w:r w:rsidRPr="00FD0715">
        <w:rPr>
          <w:color w:val="111111"/>
          <w:lang w:val="en-US"/>
        </w:rPr>
        <w:t>(7):1114–1117.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  <w:lang w:val="en-US"/>
        </w:rPr>
      </w:pPr>
      <w:proofErr w:type="spellStart"/>
      <w:r w:rsidRPr="00FD0715">
        <w:rPr>
          <w:color w:val="111111"/>
          <w:lang w:val="en-US"/>
        </w:rPr>
        <w:t>Efosa</w:t>
      </w:r>
      <w:proofErr w:type="spellEnd"/>
      <w:r w:rsidRPr="00FD0715">
        <w:rPr>
          <w:color w:val="111111"/>
          <w:lang w:val="en-US"/>
        </w:rPr>
        <w:t xml:space="preserve"> OB, </w:t>
      </w:r>
      <w:proofErr w:type="spellStart"/>
      <w:r w:rsidRPr="00FD0715">
        <w:rPr>
          <w:color w:val="111111"/>
          <w:lang w:val="en-US"/>
        </w:rPr>
        <w:t>Uwadiegwu</w:t>
      </w:r>
      <w:proofErr w:type="spellEnd"/>
      <w:r w:rsidRPr="00FD0715">
        <w:rPr>
          <w:color w:val="111111"/>
          <w:lang w:val="en-US"/>
        </w:rPr>
        <w:t xml:space="preserve"> AP. </w:t>
      </w:r>
      <w:proofErr w:type="spellStart"/>
      <w:r w:rsidRPr="00FD0715">
        <w:rPr>
          <w:color w:val="111111"/>
          <w:lang w:val="en-US"/>
        </w:rPr>
        <w:t>Cytopathological</w:t>
      </w:r>
      <w:proofErr w:type="spellEnd"/>
      <w:r w:rsidRPr="00FD0715">
        <w:rPr>
          <w:color w:val="111111"/>
          <w:lang w:val="en-US"/>
        </w:rPr>
        <w:t xml:space="preserve"> Examination and Epidemiological Study of Cervicitis in Commercial Sex Workers in Coal City (Enugu), Nigeria. Ethiop J Health Sci. Jul 2015</w:t>
      </w:r>
      <w:proofErr w:type="gramStart"/>
      <w:r w:rsidRPr="00FD0715">
        <w:rPr>
          <w:color w:val="111111"/>
          <w:lang w:val="en-US"/>
        </w:rPr>
        <w:t>;25</w:t>
      </w:r>
      <w:proofErr w:type="gramEnd"/>
      <w:r w:rsidRPr="00FD0715">
        <w:rPr>
          <w:color w:val="111111"/>
          <w:lang w:val="en-US"/>
        </w:rPr>
        <w:t xml:space="preserve">(3):225–230. 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</w:rPr>
      </w:pPr>
      <w:proofErr w:type="spellStart"/>
      <w:r w:rsidRPr="00FD0715">
        <w:rPr>
          <w:color w:val="111111"/>
          <w:lang w:val="en-US"/>
        </w:rPr>
        <w:t>Gaydos</w:t>
      </w:r>
      <w:proofErr w:type="spellEnd"/>
      <w:r w:rsidRPr="00FD0715">
        <w:rPr>
          <w:color w:val="111111"/>
          <w:lang w:val="en-US"/>
        </w:rPr>
        <w:t xml:space="preserve"> C, </w:t>
      </w:r>
      <w:proofErr w:type="spellStart"/>
      <w:r w:rsidRPr="00FD0715">
        <w:rPr>
          <w:color w:val="111111"/>
          <w:lang w:val="en-US"/>
        </w:rPr>
        <w:t>Maldeis</w:t>
      </w:r>
      <w:proofErr w:type="spellEnd"/>
      <w:r w:rsidRPr="00FD0715">
        <w:rPr>
          <w:color w:val="111111"/>
          <w:lang w:val="en-US"/>
        </w:rPr>
        <w:t xml:space="preserve"> NE, </w:t>
      </w:r>
      <w:proofErr w:type="spellStart"/>
      <w:r w:rsidRPr="00FD0715">
        <w:rPr>
          <w:color w:val="111111"/>
          <w:lang w:val="en-US"/>
        </w:rPr>
        <w:t>Hardick</w:t>
      </w:r>
      <w:proofErr w:type="spellEnd"/>
      <w:r w:rsidRPr="00FD0715">
        <w:rPr>
          <w:color w:val="111111"/>
          <w:lang w:val="en-US"/>
        </w:rPr>
        <w:t xml:space="preserve"> A, </w:t>
      </w:r>
      <w:proofErr w:type="spellStart"/>
      <w:r w:rsidRPr="00FD0715">
        <w:rPr>
          <w:color w:val="111111"/>
          <w:lang w:val="en-US"/>
        </w:rPr>
        <w:t>Hardick</w:t>
      </w:r>
      <w:proofErr w:type="spellEnd"/>
      <w:r w:rsidRPr="00FD0715">
        <w:rPr>
          <w:color w:val="111111"/>
          <w:lang w:val="en-US"/>
        </w:rPr>
        <w:t xml:space="preserve"> J, Quinn, TC. Mycoplasma </w:t>
      </w:r>
      <w:proofErr w:type="spellStart"/>
      <w:r w:rsidRPr="00FD0715">
        <w:rPr>
          <w:color w:val="111111"/>
          <w:lang w:val="en-US"/>
        </w:rPr>
        <w:t>genitalium</w:t>
      </w:r>
      <w:proofErr w:type="spellEnd"/>
      <w:r w:rsidRPr="00FD0715">
        <w:rPr>
          <w:color w:val="111111"/>
          <w:lang w:val="en-US"/>
        </w:rPr>
        <w:t xml:space="preserve"> as a Contributor to the Multiple Etiologies of Cervicitis in Women Attending Sexually Transmitted Disease Clinics. </w:t>
      </w:r>
      <w:r w:rsidRPr="00FD0715">
        <w:rPr>
          <w:color w:val="111111"/>
        </w:rPr>
        <w:t>J Sex Transm Dis. Oct 2009</w:t>
      </w:r>
      <w:proofErr w:type="gramStart"/>
      <w:r w:rsidRPr="00FD0715">
        <w:rPr>
          <w:color w:val="111111"/>
        </w:rPr>
        <w:t>;36</w:t>
      </w:r>
      <w:proofErr w:type="gramEnd"/>
      <w:r w:rsidRPr="00FD0715">
        <w:rPr>
          <w:color w:val="111111"/>
        </w:rPr>
        <w:t xml:space="preserve">(10):598-606. </w:t>
      </w:r>
    </w:p>
    <w:p w:rsidR="00FD0715" w:rsidRPr="00FD0715" w:rsidRDefault="00FD0715" w:rsidP="00FD0715">
      <w:pPr>
        <w:pStyle w:val="NormalWeb"/>
        <w:numPr>
          <w:ilvl w:val="0"/>
          <w:numId w:val="3"/>
        </w:numPr>
        <w:spacing w:line="252" w:lineRule="atLeast"/>
        <w:jc w:val="both"/>
        <w:rPr>
          <w:color w:val="111111"/>
        </w:rPr>
      </w:pPr>
      <w:proofErr w:type="spellStart"/>
      <w:r w:rsidRPr="00FD0715">
        <w:rPr>
          <w:color w:val="111111"/>
          <w:lang w:val="en-US"/>
        </w:rPr>
        <w:t>Wiesenfeld</w:t>
      </w:r>
      <w:proofErr w:type="spellEnd"/>
      <w:r w:rsidRPr="00FD0715">
        <w:rPr>
          <w:color w:val="111111"/>
          <w:lang w:val="en-US"/>
        </w:rPr>
        <w:t xml:space="preserve">, HC. Much Is Still Unknown About Cervicitis of Unknown Etiology. </w:t>
      </w:r>
      <w:r w:rsidRPr="00FD0715">
        <w:rPr>
          <w:color w:val="111111"/>
        </w:rPr>
        <w:t>J Sex Transm Dis. May 2013</w:t>
      </w:r>
      <w:proofErr w:type="gramStart"/>
      <w:r w:rsidRPr="00FD0715">
        <w:rPr>
          <w:color w:val="111111"/>
        </w:rPr>
        <w:t>;40</w:t>
      </w:r>
      <w:proofErr w:type="gramEnd"/>
      <w:r w:rsidRPr="00FD0715">
        <w:rPr>
          <w:color w:val="111111"/>
        </w:rPr>
        <w:t>(5):386-387.</w:t>
      </w:r>
    </w:p>
    <w:p w:rsidR="003D2002" w:rsidRDefault="00FD0715"/>
    <w:sectPr w:rsidR="003D2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7C8"/>
    <w:multiLevelType w:val="hybridMultilevel"/>
    <w:tmpl w:val="75DCFC10"/>
    <w:lvl w:ilvl="0" w:tplc="CF58E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1A64"/>
    <w:multiLevelType w:val="multilevel"/>
    <w:tmpl w:val="5F0CB34A"/>
    <w:lvl w:ilvl="0">
      <w:start w:val="1"/>
      <w:numFmt w:val="decimal"/>
      <w:lvlText w:val="%1."/>
      <w:lvlJc w:val="left"/>
      <w:pPr>
        <w:ind w:left="79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5B86FD1"/>
    <w:multiLevelType w:val="hybridMultilevel"/>
    <w:tmpl w:val="0E1A4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5"/>
    <w:rsid w:val="0003331F"/>
    <w:rsid w:val="00F3389A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EDB8-32B0-451F-B64F-205D9CBD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0715"/>
    <w:rPr>
      <w:b/>
      <w:bCs/>
    </w:rPr>
  </w:style>
  <w:style w:type="character" w:customStyle="1" w:styleId="apple-converted-space">
    <w:name w:val="apple-converted-space"/>
    <w:basedOn w:val="Fuentedeprrafopredeter"/>
    <w:rsid w:val="00FD0715"/>
  </w:style>
  <w:style w:type="character" w:styleId="nfasis">
    <w:name w:val="Emphasis"/>
    <w:basedOn w:val="Fuentedeprrafopredeter"/>
    <w:uiPriority w:val="20"/>
    <w:qFormat/>
    <w:rsid w:val="00FD071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D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uelchacon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Machacon</dc:creator>
  <cp:keywords/>
  <dc:description/>
  <cp:lastModifiedBy>Machacon</cp:lastModifiedBy>
  <cp:revision>1</cp:revision>
  <dcterms:created xsi:type="dcterms:W3CDTF">2016-12-19T21:46:00Z</dcterms:created>
  <dcterms:modified xsi:type="dcterms:W3CDTF">2016-12-19T21:54:00Z</dcterms:modified>
</cp:coreProperties>
</file>